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Инструкция пользователя KLT 4.14</w:t>
      </w:r>
    </w:p>
    <w:p>
      <w:pPr>
        <w:jc w:val="center"/>
      </w:pPr>
      <w:r>
        <w:rPr>
          <w:i/>
          <w:sz w:val="22"/>
        </w:rPr>
        <w:t>Как пользоваться программой λ-анализа</w:t>
      </w:r>
    </w:p>
    <w:p>
      <w:pPr>
        <w:pStyle w:val="Heading1"/>
      </w:pPr>
      <w:r>
        <w:t>1. Назначение</w:t>
      </w:r>
    </w:p>
    <w:p>
      <w:r>
        <w:t>Программа принимает текстовые, Word, PDF и Excel-файлы, извлекает содержание и строит λ-анализ по Reперу U/I/R/D.</w:t>
      </w:r>
    </w:p>
    <w:p>
      <w:pPr>
        <w:pStyle w:val="Heading1"/>
      </w:pPr>
      <w:r>
        <w:t>2. ИДЕАЛ проверяющего</w:t>
      </w:r>
    </w:p>
    <w:p>
      <w:r>
        <w:t>Проверяющий может загрузить модельный ответ, техническое задание или папку эталонных файлов. Сравнение с ИДЕАЛОМ не заменяет экспертную оценку, а помогает увидеть расхождения.</w:t>
      </w:r>
    </w:p>
    <w:p>
      <w:pPr>
        <w:pStyle w:val="Heading1"/>
      </w:pPr>
      <w:r>
        <w:t>3. Самостоятельность</w:t>
      </w:r>
    </w:p>
    <w:p>
      <w:r>
        <w:t>Самостоятельность учащегося трактуется как положительный критерий. Для творческой работы отсутствие ссылок не является автоматическим штрафом. Для исследовательской работы отсутствие источников фиксируется отдельно.</w:t>
      </w:r>
    </w:p>
    <w:p>
      <w:pPr>
        <w:pStyle w:val="Heading1"/>
      </w:pPr>
      <w:r>
        <w:t>4. Шкалы</w:t>
      </w:r>
    </w:p>
    <w:p>
      <w:r>
        <w:t>Отчёт содержит 100-балльную шкалу, пятибалльный перевод и 100000-балльную шкалу для тонкого ранжирования.</w:t>
      </w:r>
    </w:p>
    <w:p>
      <w:pPr>
        <w:pStyle w:val="Heading1"/>
      </w:pPr>
      <w:r>
        <w:t>5. Нормативное пояснение</w:t>
      </w:r>
    </w:p>
    <w:p>
      <w:r>
        <w:t>Для пятибалльного перевода в бланке указан ориентир 0-50-65-90-100 по методическим документам Минпросвещения/Рособрнадзора для экзаменационных процедур. Для обычных школьных работ применяются локальные акты образовательной организации.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75"/>
        <w:gridCol w:w="3475"/>
        <w:gridCol w:w="3475"/>
      </w:tblGrid>
      <w:tr>
        <w:tc>
          <w:tcPr>
            <w:tcW w:type="dxa" w:w="3475"/>
            <w:vAlign w:val="top"/>
            <w:shd w:fill="EDE3D4"/>
          </w:tcPr>
          <w:p>
            <w:r/>
            <w:r>
              <w:rPr>
                <w:b/>
                <w:sz w:val="18"/>
              </w:rPr>
              <w:t>Диапазон</w:t>
            </w:r>
          </w:p>
        </w:tc>
        <w:tc>
          <w:tcPr>
            <w:tcW w:type="dxa" w:w="3475"/>
            <w:vAlign w:val="top"/>
            <w:shd w:fill="EDE3D4"/>
          </w:tcPr>
          <w:p>
            <w:r/>
            <w:r>
              <w:rPr>
                <w:b/>
                <w:sz w:val="18"/>
              </w:rPr>
              <w:t>5-балльная отметка</w:t>
            </w:r>
          </w:p>
        </w:tc>
        <w:tc>
          <w:tcPr>
            <w:tcW w:type="dxa" w:w="3475"/>
            <w:vAlign w:val="top"/>
            <w:shd w:fill="EDE3D4"/>
          </w:tcPr>
          <w:p>
            <w:r/>
            <w:r>
              <w:rPr>
                <w:b/>
                <w:sz w:val="18"/>
              </w:rPr>
              <w:t>Пояснение</w:t>
            </w:r>
          </w:p>
        </w:tc>
      </w:tr>
      <w:tr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90-100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5 отлично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Высокая полнота и согласованность</w:t>
            </w:r>
          </w:p>
        </w:tc>
      </w:tr>
      <w:tr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65-89,99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4 хорошо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Хороший уровень с доработками</w:t>
            </w:r>
          </w:p>
        </w:tc>
      </w:tr>
      <w:tr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50-64,99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3 удовлетворительно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Минимально достаточная структура</w:t>
            </w:r>
          </w:p>
        </w:tc>
      </w:tr>
      <w:tr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0-49,99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2 неудовлетворительно</w:t>
            </w:r>
          </w:p>
        </w:tc>
        <w:tc>
          <w:tcPr>
            <w:tcW w:type="dxa" w:w="3475"/>
            <w:vAlign w:val="top"/>
          </w:tcPr>
          <w:p>
            <w:r/>
            <w:r>
              <w:rPr>
                <w:b w:val="0"/>
                <w:sz w:val="18"/>
              </w:rPr>
              <w:t>Существенные разрывы</w:t>
            </w:r>
          </w:p>
        </w:tc>
      </w:tr>
    </w:tbl>
    <w:sectPr w:rsidR="00FC693F" w:rsidRPr="0006063C" w:rsidSect="0003461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