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7345F"/>
          <w:sz w:val="36"/>
        </w:rPr>
        <w:t>Пример анализа закупки и экономический эффект</w:t>
      </w:r>
    </w:p>
    <w:p>
      <w:pPr>
        <w:jc w:val="center"/>
      </w:pPr>
      <w:r>
        <w:t>Курпишев Иван Борисович. 2026-04-29</w:t>
      </w:r>
    </w:p>
    <w:p>
      <w:pPr>
        <w:spacing w:after="100"/>
      </w:pPr>
      <w:r>
        <w:t>Открытый пример: закупка N 0365300016022000022 - ремонтно-строительные работы и замена дверных блоков/люков на противопожарные в зданиях МБУДО "ДЮСШ" города Стрежевого. По открытой карточке закупки НМЦК составляет 433 143,60 руб.; в документации перечислены ТЗ, требования к составу заявки, локальные сметные расчёты, проект контракта и контрактные файлы.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2"/>
        <w:gridCol w:w="3362"/>
        <w:gridCol w:w="3362"/>
      </w:tblGrid>
      <w:tr>
        <w:trPr>
          <w:tblHeader/>
        </w:trPr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N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Работа/объект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Сумма, руб.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1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Ремонтно-строительные работы: Томская обл., г. Стрежевой, 2 мкр., 209А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180 890,40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2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Ремонтно-строительные работы, помещение тамбура: ул. Строителей 14А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73 524,00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3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Замена дверных блоков, люков на противопожарные: 2 мкр., 209А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134 973,60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4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Замена дверного блока на противопожарный: ул. Строителей 14А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43 755,60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Итого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НМЦК/итог по карточке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433 143,60</w:t>
            </w:r>
          </w:p>
        </w:tc>
      </w:tr>
    </w:tbl>
    <w:p/>
    <w:p>
      <w:pPr>
        <w:spacing w:after="100"/>
      </w:pPr>
      <w:r>
        <w:t>KLT-чтение: U - требования ТЗ, пожарной безопасности, качества материалов, сроков и приёмки; I - проектная цель безопасного ремонта и замены противопожарных элементов; R - фактические объёмы и цены из локальных смет; D - техническое задание, локальные сметные расчёты, проект контракта, нормативы и будущие акты приёмки.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2"/>
        <w:gridCol w:w="3362"/>
        <w:gridCol w:w="3362"/>
      </w:tblGrid>
      <w:tr>
        <w:trPr>
          <w:tblHeader/>
        </w:trPr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Зона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Проверка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KLT-узел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Комплектность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Есть ли ТЗ, смета, проект контракта, требования к заявке, ведомость объёмов/ресурсов.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GAP-DOC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Смета ↔ ТЗ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Каждый вид работ из сметы имеет требование/объём в ТЗ.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lambda_gap(U,R)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Единицы измерения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Площади, штуки, метры, комплекты не смешаны без коэффициентов.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CGI_unit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Материалы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Материалы в смете соответствуют требованиям пожарной/строительной безопасности.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CGI_material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Сроки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Сроки исполнения согласованы с объёмом и проектом контракта.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L_T + CGI_schedule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Цена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Сумма позиций совпадает с НМЦК; нет скрытых работ.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delta_sum + GAP-HIDDEN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Приёмка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Критерии результата описаны проверяемо.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D_acceptance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Риски жалоб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Нет неопределённого описания объекта и условий допуска.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CGI_claim_risk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Пересборка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Для каждого разрыва есть маршрут исправления.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rebuild_node</w:t>
            </w:r>
          </w:p>
        </w:tc>
      </w:tr>
    </w:tbl>
    <w:p/>
    <w:p>
      <w:pPr>
        <w:spacing w:after="100"/>
      </w:pPr>
      <w:r>
        <w:t>Экономический эффект оценивается по каналам: экономия времени эксперта, снижение ошибок комплектности, снижение риска переработок/претензий, накопление отраслевой базы знаний. Расчёты являются сценарными и требуют пилотной проверки.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2"/>
        <w:gridCol w:w="3362"/>
        <w:gridCol w:w="3362"/>
      </w:tblGrid>
      <w:tr>
        <w:trPr>
          <w:tblHeader/>
        </w:trPr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Сценарий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Допущения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Оценка эффекта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Один малый тендер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НМЦК 433143,60 руб.; ручная проверка 8 ч; KLT 2,5 ч; ставка эксперта 1200 руб./ч.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Экономия времени около 6600 руб.; потенциальный риск-эффект при 1-2,5% и выявляемости 25-40%: около 1100-4300 руб.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100 тендеров/год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Средняя НМЦК 5 млн руб.; риск-утечка 1%; выявляемость 30%.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Около 660 тыс. руб. трудовой экономии + 1,5 млн руб. риск-эффекта = 2,16 млн руб./год.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500 тендеров/год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Средняя НМЦК 10 млн руб.; риск-утечка 0,7%; выявляемость 25%.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Около 3,3 млн руб. трудовой экономии + 8,75 млн руб. риск-эффекта = 12,05 млн руб./год.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Стратегический эффект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Накопление отраслевой RBD и повторное использование типовых Reper-узлов.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Снижение повторных ошибок, ускорение проверки, аналитика поставщиков и сметных паттернов.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2"/>
        <w:gridCol w:w="3362"/>
        <w:gridCol w:w="3362"/>
      </w:tblGrid>
      <w:tr>
        <w:trPr>
          <w:tblHeader/>
        </w:trPr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Этап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Срок</w:t>
            </w:r>
          </w:p>
        </w:tc>
        <w:tc>
          <w:tcPr>
            <w:tcW w:type="dxa" w:w="3362"/>
            <w:vAlign w:val="top"/>
            <w:shd w:fill="E8EEF7"/>
          </w:tcPr>
          <w:p>
            <w:r/>
            <w:r>
              <w:rPr>
                <w:b/>
                <w:sz w:val="17"/>
              </w:rPr>
              <w:t>Результат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0. Правовая упаковка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2-4 недели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Финальные формы ФИПС, рефераты, депонируемые материалы, режим коммерческой тайны.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1. Пилот на архивных закупках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4-6 недель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20-50 закупок, сравнение ручной проверки и KLT, таблица подтверждённых разрывов.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2. Интеграция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6-10 недель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Загрузка PDF/DOCX/XLSX, JSON-отчёты, кабинет эксперта, экспорт чек-листа.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3. Отраслевая RBD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3-6 месяцев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ФЕР/ФССЦ/ГОСТ/СНиП, типовые сметные и договорные Reper-узлы.</w:t>
            </w:r>
          </w:p>
        </w:tc>
      </w:tr>
      <w:tr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4. Масштабирование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6-12 месяцев</w:t>
            </w:r>
          </w:p>
        </w:tc>
        <w:tc>
          <w:tcPr>
            <w:tcW w:type="dxa" w:w="3362"/>
            <w:vAlign w:val="top"/>
          </w:tcPr>
          <w:p>
            <w:r/>
            <w:r>
              <w:rPr>
                <w:b w:val="0"/>
                <w:sz w:val="17"/>
              </w:rPr>
              <w:t>Лицензирование SDK, ведомственные дашборды, обучение экспертов.</w:t>
            </w:r>
          </w:p>
        </w:tc>
      </w:tr>
    </w:tbl>
    <w:p/>
    <w:p>
      <w:pPr>
        <w:pStyle w:val="Heading1"/>
      </w:pPr>
      <w:r>
        <w:t>Источники и оговорка</w:t>
      </w:r>
    </w:p>
    <w:p>
      <w:pPr>
        <w:spacing w:after="100"/>
      </w:pPr>
      <w:r>
        <w:t>Это расширенная проектная редакция для переговоров, пилота, подготовки ФИПС/Роспатента и представления инвесторам/ведомствам. Перед финальной подачей официальные формы нужно сверить в актуальном личном кабинете ФИПС.</w:t>
      </w:r>
    </w:p>
    <w:p>
      <w:pPr>
        <w:spacing w:after="100"/>
      </w:pPr>
      <w:r>
        <w:t>Монография 5.0: C@C, Reper, lambda, CGI, KLT 4.14/5.1, RBD. Носитель/адрес: monograph5_0_ru.pdf/html</w:t>
      </w:r>
    </w:p>
    <w:p>
      <w:pPr>
        <w:spacing w:after="100"/>
      </w:pPr>
      <w:r>
        <w:t>KPF/RPHD: Reper v1.0, Limit-Causal v1.0, Xi/Delta/Upsilon, CGI. Носитель/адрес: proektivno_garmonicheskie_repernye_osnovaniya_prichinnosti_i_determinizma.docx</w:t>
      </w:r>
    </w:p>
    <w:p>
      <w:pPr>
        <w:spacing w:after="100"/>
      </w:pPr>
      <w:r>
        <w:t>Архитектура математики: RBD-MATH-ARCH: source -&gt; work-node -&gt; unit -&gt; Reper-node -&gt; graph. Носитель/адрес: АРХИТЕКТУРА МАТЕМАТИКИ.docx</w:t>
      </w:r>
    </w:p>
    <w:p>
      <w:pPr>
        <w:spacing w:after="100"/>
      </w:pPr>
      <w:r>
        <w:t>План сайта KLT: KLT 4.14/5.1 short routes and SDK. Носитель/адрес: plan (1).docx</w:t>
      </w:r>
    </w:p>
    <w:p>
      <w:pPr>
        <w:spacing w:after="100"/>
      </w:pPr>
      <w:r>
        <w:t>Роспатент: программа/БД: заявление, депонируемые материалы с рефератом, согласия, доверенность, пошлина. Носитель/адрес: https://rospatent.gov.ru/ru/stateservices/gosudarstvennaya-registraciya-programmy-dlya-elektronnyh-vychislitelnyh-mashin-ili-bazy-dannyh-i-vydacha-svidetelstv-o-gosudarstvennoy-registracii-programmy-dlya-elektronnyh-vychislitelnyh-mashin-ili-bazy-dannyh-ih-dublikatov</w:t>
      </w:r>
    </w:p>
    <w:p>
      <w:pPr>
        <w:spacing w:after="100"/>
      </w:pPr>
      <w:r>
        <w:t>Роспатент: изобретение: заявление, описание, формула, чертежи/материалы при необходимости, реферат. Носитель/адрес: https://rospatent.gov.ru/ru/documents/prikaz-minekonomrazvitiya-107-21022023</w:t>
      </w:r>
    </w:p>
    <w:p>
      <w:pPr>
        <w:spacing w:after="100"/>
      </w:pPr>
      <w:r>
        <w:t>Открытый пример закупки: закупка 0365300016022000022: ремонтные работы, ТЗ, локальные сметы, проект контракта, НМЦК 433143.60 руб.. Носитель/адрес: https://poisktenderov.ru/item/0365300016022000022/ + zakupki.gov.ru</w:t>
      </w:r>
    </w:p>
    <w:sectPr w:rsidR="00FC693F" w:rsidRPr="0006063C" w:rsidSect="00034616">
      <w:pgSz w:w="12240" w:h="15840"/>
      <w:pgMar w:top="1020" w:right="964" w:bottom="1020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 w:eastAsia="Liberation San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7345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7345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 w:eastAsia="Liberation Sans"/>
      <w:color w:val="17345F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