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345F"/>
          <w:sz w:val="36"/>
        </w:rPr>
        <w:t>Проект заявки: компьютерно-реализованное изобретение KLT-RBD</w:t>
      </w:r>
    </w:p>
    <w:p>
      <w:pPr>
        <w:jc w:val="center"/>
      </w:pPr>
      <w:r>
        <w:t>Курпишев Иван Борисович. 2026-04-29</w:t>
      </w:r>
    </w:p>
    <w:p>
      <w:pPr>
        <w:spacing w:after="100"/>
      </w:pPr>
      <w:r>
        <w:t>Рабочее наименование: компьютерно-реализованный способ и система выявления документально-сметных разрывов в разнородных цифровых документах с использованием Reper-графа, lambda-истинности и индекса CGI.</w:t>
      </w:r>
    </w:p>
    <w:p>
      <w:pPr>
        <w:spacing w:after="100"/>
      </w:pPr>
      <w:r>
        <w:t>Область техники: обработка цифровых документов, системы поддержки принятия решений, автоматизированная экспертиза закупочной и проектно-сметной документации, GovTech/ConTech/RegTech.</w:t>
      </w:r>
    </w:p>
    <w:p>
      <w:pPr>
        <w:spacing w:after="100"/>
      </w:pPr>
      <w:r>
        <w:t>Техническая проблема: разнородные документы закупки - ТЗ, смета, ведомость объёмов, проект контракта, нормативные требования и акты - обычно проверяются вручную и раздельно. Это затрудняет раннее обнаружение скрытых несоответствий между требованиями, фактическими объёмами, нормативной базой, сроками и условиями исполнения.</w:t>
      </w:r>
    </w:p>
    <w:p>
      <w:pPr>
        <w:spacing w:after="100"/>
      </w:pPr>
      <w:r>
        <w:t>Технический результат: формирование машиночитаемого графа связей между требованиями, фактами, основаниями и рисками; автоматическое ранжирование конфликтов; формирование чек-листа корректировки; снижение времени предварительной проверки и повышение повторяемости экспертного вывода.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42"/>
        <w:gridCol w:w="5042"/>
      </w:tblGrid>
      <w:tr>
        <w:trPr>
          <w:tblHeader/>
        </w:trPr>
        <w:tc>
          <w:tcPr>
            <w:tcW w:type="dxa" w:w="5042"/>
            <w:vAlign w:val="top"/>
            <w:shd w:fill="E8EEF7"/>
          </w:tcPr>
          <w:p>
            <w:r/>
            <w:r>
              <w:rPr>
                <w:b/>
                <w:sz w:val="17"/>
              </w:rPr>
              <w:t>Этап</w:t>
            </w:r>
          </w:p>
        </w:tc>
        <w:tc>
          <w:tcPr>
            <w:tcW w:type="dxa" w:w="5042"/>
            <w:vAlign w:val="top"/>
            <w:shd w:fill="E8EEF7"/>
          </w:tcPr>
          <w:p>
            <w:r/>
            <w:r>
              <w:rPr>
                <w:b/>
                <w:sz w:val="17"/>
              </w:rPr>
              <w:t>Существенное действие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Приём данных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Получают набор файлов: ТЗ, смета, ведомость объёмов, проект контракта, нормативные ссылки, приложения.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Нормализация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Преобразуют документы в унифицированные текстовые, табличные и метаданные представления.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Извлечение узлов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Выделяют требования, виды работ, объёмы, единицы измерения, сроки, материалы, нормы, цены, основания.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Reper-разметка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Для каждого узла формируют Rep(R,I,U;D).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lambda/CGI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Вычисляют defect=|lambda+1| и CGI по весам документального, сметного, нормативного, срокового и ресурсного конфликта.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Пересборка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При превышении порога создают gap/break-node и предлагают маршрут исправления.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Отчёт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Генерируют экспертный отчёт, чек-лист и JSON для интеграции.</w:t>
            </w:r>
          </w:p>
        </w:tc>
      </w:tr>
    </w:tbl>
    <w:p/>
    <w:p>
      <w:pPr>
        <w:spacing w:after="100"/>
      </w:pPr>
      <w:r>
        <w:t>Проект независимого пункта формулы: способ компьютерной обработки комплекта цифровых документов проектно-сметной закупки, включающий приём разнородных документов, их нормализацию, извлечение смысловых узлов, построение для каждого узла структуры Rep(R,I,U;D), вычисление показателя lambda-дефекта и индекса CGI, сравнение индексов с порогами, формирование графа разрывов и автоматическую генерацию отчёта с указанием мест документа, требующих проверки или пересборки.</w:t>
      </w:r>
    </w:p>
    <w:p>
      <w:pPr>
        <w:spacing w:after="100"/>
      </w:pPr>
      <w:r>
        <w:t>Зависимые пункты могут раскрывать адаптеры форматов, отраслевые веса, обработку локальных смет, связь с RBD, экспорт в JSON/HTML/PDF, ведомственный кабинет и обучение на подтверждённых экспертных исправлениях.</w:t>
      </w:r>
    </w:p>
    <w:p>
      <w:pPr>
        <w:pStyle w:val="Heading1"/>
      </w:pPr>
      <w:r>
        <w:t>Источники и оговорка</w:t>
      </w:r>
    </w:p>
    <w:p>
      <w:pPr>
        <w:spacing w:after="100"/>
      </w:pPr>
      <w:r>
        <w:t>Это расширенная проектная редакция для переговоров, пилота, подготовки ФИПС/Роспатента и представления инвесторам/ведомствам. Перед финальной подачей официальные формы нужно сверить в актуальном личном кабинете ФИПС.</w:t>
      </w:r>
    </w:p>
    <w:p>
      <w:pPr>
        <w:spacing w:after="100"/>
      </w:pPr>
      <w:r>
        <w:t>Монография 5.0: C@C, Reper, lambda, CGI, KLT 4.14/5.1, RBD. Носитель/адрес: monograph5_0_ru.pdf/html</w:t>
      </w:r>
    </w:p>
    <w:p>
      <w:pPr>
        <w:spacing w:after="100"/>
      </w:pPr>
      <w:r>
        <w:t>KPF/RPHD: Reper v1.0, Limit-Causal v1.0, Xi/Delta/Upsilon, CGI. Носитель/адрес: proektivno_garmonicheskie_repernye_osnovaniya_prichinnosti_i_determinizma.docx</w:t>
      </w:r>
    </w:p>
    <w:p>
      <w:pPr>
        <w:spacing w:after="100"/>
      </w:pPr>
      <w:r>
        <w:t>Архитектура математики: RBD-MATH-ARCH: source -&gt; work-node -&gt; unit -&gt; Reper-node -&gt; graph. Носитель/адрес: АРХИТЕКТУРА МАТЕМАТИКИ.docx</w:t>
      </w:r>
    </w:p>
    <w:p>
      <w:pPr>
        <w:spacing w:after="100"/>
      </w:pPr>
      <w:r>
        <w:t>План сайта KLT: KLT 4.14/5.1 short routes and SDK. Носитель/адрес: plan (1).docx</w:t>
      </w:r>
    </w:p>
    <w:p>
      <w:pPr>
        <w:spacing w:after="100"/>
      </w:pPr>
      <w:r>
        <w:t>Роспатент: программа/БД: заявление, депонируемые материалы с рефератом, согласия, доверенность, пошлина. Носитель/адрес: https://rospatent.gov.ru/ru/stateservices/gosudarstvennaya-registraciya-programmy-dlya-elektronnyh-vychislitelnyh-mashin-ili-bazy-dannyh-i-vydacha-svidetelstv-o-gosudarstvennoy-registracii-programmy-dlya-elektronnyh-vychislitelnyh-mashin-ili-bazy-dannyh-ih-dublikatov</w:t>
      </w:r>
    </w:p>
    <w:p>
      <w:pPr>
        <w:spacing w:after="100"/>
      </w:pPr>
      <w:r>
        <w:t>Роспатент: изобретение: заявление, описание, формула, чертежи/материалы при необходимости, реферат. Носитель/адрес: https://rospatent.gov.ru/ru/documents/prikaz-minekonomrazvitiya-107-21022023</w:t>
      </w:r>
    </w:p>
    <w:p>
      <w:pPr>
        <w:spacing w:after="100"/>
      </w:pPr>
      <w:r>
        <w:t>Открытый пример закупки: закупка 0365300016022000022: ремонтные работы, ТЗ, локальные сметы, проект контракта, НМЦК 433143.60 руб.. Носитель/адрес: https://poisktenderov.ru/item/0365300016022000022/ + zakupki.gov.ru</w:t>
      </w:r>
    </w:p>
    <w:sectPr w:rsidR="00FC693F" w:rsidRPr="0006063C" w:rsidSect="00034616">
      <w:pgSz w:w="12240" w:h="15840"/>
      <w:pgMar w:top="1020" w:right="964" w:bottom="102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color w:val="17345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